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48"/>
          <w:szCs w:val="48"/>
          <w:lang w:val="en-US"/>
        </w:rPr>
      </w:pPr>
      <w:r>
        <w:rPr>
          <w:rFonts w:hint="eastAsia" w:ascii="宋体" w:hAnsi="宋体" w:cs="宋体"/>
          <w:b/>
          <w:bCs/>
          <w:i w:val="0"/>
          <w:color w:val="000000"/>
          <w:kern w:val="0"/>
          <w:sz w:val="48"/>
          <w:szCs w:val="48"/>
          <w:u w:val="none"/>
          <w:lang w:val="en-US" w:eastAsia="zh-CN" w:bidi="ar"/>
        </w:rPr>
        <w:t>废气治理设施工况动态监测系统标准书</w:t>
      </w:r>
    </w:p>
    <w:p/>
    <w:p/>
    <w:p>
      <w:pPr>
        <w:tabs>
          <w:tab w:val="center" w:pos="4479"/>
        </w:tabs>
        <w:spacing w:line="240" w:lineRule="atLeast"/>
        <w:jc w:val="center"/>
        <w:rPr>
          <w:rFonts w:hint="eastAsia" w:ascii="楷体_GB2312" w:hAnsi="宋体" w:eastAsia="楷体_GB2312"/>
          <w:b/>
          <w:bCs/>
          <w:sz w:val="72"/>
          <w:szCs w:val="72"/>
        </w:rPr>
      </w:pPr>
    </w:p>
    <w:p>
      <w:pPr>
        <w:tabs>
          <w:tab w:val="center" w:pos="4479"/>
        </w:tabs>
        <w:spacing w:line="240" w:lineRule="atLeast"/>
        <w:jc w:val="center"/>
        <w:rPr>
          <w:rFonts w:hint="eastAsia" w:ascii="楷体_GB2312" w:hAnsi="宋体" w:eastAsia="楷体_GB2312"/>
          <w:b/>
          <w:bCs/>
          <w:sz w:val="72"/>
          <w:szCs w:val="72"/>
        </w:rPr>
      </w:pPr>
    </w:p>
    <w:p>
      <w:pPr>
        <w:tabs>
          <w:tab w:val="center" w:pos="4479"/>
        </w:tabs>
        <w:spacing w:line="240" w:lineRule="atLeast"/>
        <w:jc w:val="center"/>
        <w:rPr>
          <w:rFonts w:hint="eastAsia" w:ascii="楷体_GB2312" w:hAnsi="宋体" w:eastAsia="楷体_GB2312"/>
          <w:b/>
          <w:bCs/>
          <w:sz w:val="72"/>
          <w:szCs w:val="72"/>
        </w:rPr>
      </w:pPr>
    </w:p>
    <w:p>
      <w:pPr>
        <w:tabs>
          <w:tab w:val="center" w:pos="4479"/>
        </w:tabs>
        <w:spacing w:line="240" w:lineRule="atLeast"/>
        <w:jc w:val="center"/>
        <w:rPr>
          <w:rFonts w:hint="eastAsia" w:ascii="楷体_GB2312" w:hAnsi="宋体" w:eastAsia="楷体_GB2312"/>
          <w:b/>
          <w:bCs/>
          <w:sz w:val="72"/>
          <w:szCs w:val="72"/>
        </w:rPr>
      </w:pPr>
    </w:p>
    <w:p>
      <w:pPr>
        <w:tabs>
          <w:tab w:val="center" w:pos="4479"/>
        </w:tabs>
        <w:spacing w:line="240" w:lineRule="atLeast"/>
        <w:jc w:val="center"/>
        <w:rPr>
          <w:rFonts w:hint="eastAsia" w:ascii="楷体_GB2312" w:hAnsi="宋体" w:eastAsia="楷体_GB2312"/>
          <w:b/>
          <w:bCs/>
          <w:sz w:val="52"/>
          <w:szCs w:val="52"/>
        </w:rPr>
      </w:pPr>
      <w:r>
        <w:rPr>
          <w:rFonts w:hint="eastAsia" w:ascii="楷体_GB2312" w:hAnsi="宋体" w:eastAsia="楷体_GB2312"/>
          <w:b/>
          <w:bCs/>
          <w:sz w:val="52"/>
          <w:szCs w:val="52"/>
        </w:rPr>
        <w:drawing>
          <wp:inline distT="0" distB="0" distL="114300" distR="114300">
            <wp:extent cx="1907540" cy="935355"/>
            <wp:effectExtent l="0" t="0" r="10160" b="4445"/>
            <wp:docPr id="21" name="图片 7" descr="宏瑞商~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宏瑞商~1"/>
                    <pic:cNvPicPr>
                      <a:picLocks noChangeAspect="1"/>
                    </pic:cNvPicPr>
                  </pic:nvPicPr>
                  <pic:blipFill>
                    <a:blip r:embed="rId9"/>
                    <a:stretch>
                      <a:fillRect/>
                    </a:stretch>
                  </pic:blipFill>
                  <pic:spPr>
                    <a:xfrm>
                      <a:off x="0" y="0"/>
                      <a:ext cx="1907540" cy="935355"/>
                    </a:xfrm>
                    <a:prstGeom prst="rect">
                      <a:avLst/>
                    </a:prstGeom>
                    <a:noFill/>
                    <a:ln>
                      <a:noFill/>
                    </a:ln>
                  </pic:spPr>
                </pic:pic>
              </a:graphicData>
            </a:graphic>
          </wp:inline>
        </w:drawing>
      </w:r>
    </w:p>
    <w:p/>
    <w:p/>
    <w:p>
      <w:bookmarkStart w:id="5" w:name="_GoBack"/>
      <w:bookmarkEnd w:id="5"/>
    </w:p>
    <w:p/>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温州宏瑞节能环保科技有限公司</w:t>
      </w:r>
    </w:p>
    <w:p>
      <w:pPr>
        <w:jc w:val="center"/>
        <w:rPr>
          <w:rFonts w:hint="default"/>
          <w:b/>
          <w:bCs/>
          <w:sz w:val="36"/>
          <w:szCs w:val="36"/>
          <w:lang w:val="en-US"/>
        </w:rPr>
      </w:pPr>
      <w:r>
        <w:rPr>
          <w:rFonts w:hint="eastAsia" w:ascii="宋体" w:hAnsi="宋体" w:eastAsia="宋体" w:cs="宋体"/>
          <w:b/>
          <w:bCs/>
          <w:i w:val="0"/>
          <w:color w:val="000000"/>
          <w:kern w:val="0"/>
          <w:sz w:val="36"/>
          <w:szCs w:val="36"/>
          <w:u w:val="none"/>
          <w:lang w:val="en-US" w:eastAsia="zh-CN" w:bidi="ar"/>
        </w:rPr>
        <w:t>202</w:t>
      </w:r>
      <w:r>
        <w:rPr>
          <w:rFonts w:hint="eastAsia" w:ascii="宋体" w:hAnsi="宋体" w:cs="宋体"/>
          <w:b/>
          <w:bCs/>
          <w:i w:val="0"/>
          <w:color w:val="000000"/>
          <w:kern w:val="0"/>
          <w:sz w:val="36"/>
          <w:szCs w:val="36"/>
          <w:u w:val="none"/>
          <w:lang w:val="en-US" w:eastAsia="zh-CN" w:bidi="ar"/>
        </w:rPr>
        <w:t>1</w:t>
      </w:r>
      <w:r>
        <w:rPr>
          <w:rFonts w:hint="eastAsia" w:ascii="宋体" w:hAnsi="宋体" w:eastAsia="宋体" w:cs="宋体"/>
          <w:b/>
          <w:bCs/>
          <w:i w:val="0"/>
          <w:color w:val="000000"/>
          <w:kern w:val="0"/>
          <w:sz w:val="36"/>
          <w:szCs w:val="36"/>
          <w:u w:val="none"/>
          <w:lang w:val="en-US" w:eastAsia="zh-CN" w:bidi="ar"/>
        </w:rPr>
        <w:t>/</w:t>
      </w:r>
      <w:r>
        <w:rPr>
          <w:rFonts w:hint="eastAsia" w:ascii="宋体" w:hAnsi="宋体" w:cs="宋体"/>
          <w:b/>
          <w:bCs/>
          <w:i w:val="0"/>
          <w:color w:val="000000"/>
          <w:kern w:val="0"/>
          <w:sz w:val="36"/>
          <w:szCs w:val="36"/>
          <w:u w:val="none"/>
          <w:lang w:val="en-US" w:eastAsia="zh-CN" w:bidi="ar"/>
        </w:rPr>
        <w:t>7</w:t>
      </w:r>
      <w:r>
        <w:rPr>
          <w:rFonts w:hint="eastAsia" w:ascii="宋体" w:hAnsi="宋体" w:eastAsia="宋体" w:cs="宋体"/>
          <w:b/>
          <w:bCs/>
          <w:i w:val="0"/>
          <w:color w:val="000000"/>
          <w:kern w:val="0"/>
          <w:sz w:val="36"/>
          <w:szCs w:val="36"/>
          <w:u w:val="none"/>
          <w:lang w:val="en-US" w:eastAsia="zh-CN" w:bidi="ar"/>
        </w:rPr>
        <w:t>/1</w:t>
      </w:r>
    </w:p>
    <w:p/>
    <w:p/>
    <w:p/>
    <w:p/>
    <w:p/>
    <w:p/>
    <w:p/>
    <w:p/>
    <w:p/>
    <w:p/>
    <w:p/>
    <w:p/>
    <w:p/>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sectPr>
          <w:headerReference r:id="rId4" w:type="first"/>
          <w:headerReference r:id="rId3" w:type="default"/>
          <w:footerReference r:id="rId5" w:type="default"/>
          <w:pgSz w:w="11906" w:h="16838"/>
          <w:pgMar w:top="1440" w:right="1800" w:bottom="1440" w:left="1800" w:header="1020" w:footer="992" w:gutter="0"/>
          <w:pgNumType w:fmt="decimal" w:start="0"/>
          <w:cols w:space="425" w:num="1"/>
          <w:titlePg/>
          <w:docGrid w:type="lines" w:linePitch="312" w:charSpace="0"/>
        </w:sectPr>
      </w:pPr>
    </w:p>
    <w:tbl>
      <w:tblPr>
        <w:tblStyle w:val="5"/>
        <w:tblpPr w:leftFromText="180" w:rightFromText="180" w:vertAnchor="page" w:horzAnchor="page" w:tblpX="1749" w:tblpY="1771"/>
        <w:tblOverlap w:val="never"/>
        <w:tblW w:w="8323" w:type="dxa"/>
        <w:tblInd w:w="0" w:type="dxa"/>
        <w:tblLayout w:type="fixed"/>
        <w:tblCellMar>
          <w:top w:w="0" w:type="dxa"/>
          <w:left w:w="0" w:type="dxa"/>
          <w:bottom w:w="0" w:type="dxa"/>
          <w:right w:w="0" w:type="dxa"/>
        </w:tblCellMar>
      </w:tblPr>
      <w:tblGrid>
        <w:gridCol w:w="2239"/>
        <w:gridCol w:w="3300"/>
        <w:gridCol w:w="1596"/>
        <w:gridCol w:w="1188"/>
      </w:tblGrid>
      <w:tr>
        <w:tblPrEx>
          <w:tblCellMar>
            <w:top w:w="0" w:type="dxa"/>
            <w:left w:w="0" w:type="dxa"/>
            <w:bottom w:w="0" w:type="dxa"/>
            <w:right w:w="0" w:type="dxa"/>
          </w:tblCellMar>
        </w:tblPrEx>
        <w:trPr>
          <w:trHeight w:val="697" w:hRule="atLeast"/>
        </w:trPr>
        <w:tc>
          <w:tcPr>
            <w:tcW w:w="22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温州宏瑞节能环保科技有限公司</w:t>
            </w:r>
          </w:p>
        </w:tc>
        <w:tc>
          <w:tcPr>
            <w:tcW w:w="330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产品标准书</w:t>
            </w:r>
          </w:p>
        </w:tc>
        <w:tc>
          <w:tcPr>
            <w:tcW w:w="1596" w:type="dxa"/>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文件编号</w:t>
            </w:r>
          </w:p>
        </w:tc>
        <w:tc>
          <w:tcPr>
            <w:tcW w:w="11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Q/0577HR001-2020</w:t>
            </w:r>
          </w:p>
        </w:tc>
      </w:tr>
      <w:tr>
        <w:tblPrEx>
          <w:tblCellMar>
            <w:top w:w="0" w:type="dxa"/>
            <w:left w:w="0" w:type="dxa"/>
            <w:bottom w:w="0" w:type="dxa"/>
            <w:right w:w="0" w:type="dxa"/>
          </w:tblCellMar>
        </w:tblPrEx>
        <w:trPr>
          <w:trHeight w:val="288" w:hRule="atLeast"/>
        </w:trPr>
        <w:tc>
          <w:tcPr>
            <w:tcW w:w="22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废气治理设施工况动态监测系统</w:t>
            </w:r>
          </w:p>
        </w:tc>
        <w:tc>
          <w:tcPr>
            <w:tcW w:w="15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制定、修订日期</w:t>
            </w:r>
          </w:p>
        </w:tc>
        <w:tc>
          <w:tcPr>
            <w:tcW w:w="11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88" w:hRule="atLeast"/>
        </w:trPr>
        <w:tc>
          <w:tcPr>
            <w:tcW w:w="22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页码</w:t>
            </w:r>
          </w:p>
        </w:tc>
        <w:tc>
          <w:tcPr>
            <w:tcW w:w="11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w:t>
            </w:r>
          </w:p>
        </w:tc>
      </w:tr>
    </w:tbl>
    <w:p/>
    <w:p/>
    <w:p>
      <w:pPr>
        <w:spacing w:before="0" w:beforeLines="0" w:after="0" w:afterLines="0" w:line="240" w:lineRule="auto"/>
        <w:ind w:left="0" w:leftChars="0" w:right="0" w:rightChars="0" w:firstLine="0" w:firstLineChars="0"/>
        <w:jc w:val="center"/>
        <w:rPr>
          <w:rFonts w:ascii="宋体" w:hAnsi="宋体" w:eastAsia="宋体"/>
          <w:b/>
          <w:bCs/>
          <w:sz w:val="40"/>
          <w:szCs w:val="48"/>
        </w:rPr>
      </w:pPr>
    </w:p>
    <w:p>
      <w:pPr>
        <w:spacing w:before="0" w:beforeLines="0" w:after="0" w:afterLines="0" w:line="240" w:lineRule="auto"/>
        <w:ind w:left="0" w:leftChars="0" w:right="0" w:rightChars="0" w:firstLine="0" w:firstLineChars="0"/>
        <w:jc w:val="center"/>
        <w:rPr>
          <w:b/>
          <w:bCs/>
          <w:sz w:val="40"/>
          <w:szCs w:val="48"/>
        </w:rPr>
      </w:pPr>
      <w:r>
        <w:rPr>
          <w:rFonts w:ascii="宋体" w:hAnsi="宋体" w:eastAsia="宋体"/>
          <w:b/>
          <w:bCs/>
          <w:sz w:val="40"/>
          <w:szCs w:val="48"/>
        </w:rPr>
        <w:t>目录</w:t>
      </w:r>
    </w:p>
    <w:p>
      <w:pPr>
        <w:pStyle w:val="4"/>
        <w:tabs>
          <w:tab w:val="right" w:leader="dot" w:pos="8306"/>
        </w:tabs>
        <w:rPr>
          <w:sz w:val="28"/>
          <w:szCs w:val="28"/>
        </w:rPr>
      </w:pPr>
      <w:r>
        <w:rPr>
          <w:rFonts w:hint="default" w:ascii="宋体" w:hAnsi="宋体" w:eastAsia="宋体" w:cs="宋体"/>
          <w:b/>
          <w:bCs/>
          <w:kern w:val="2"/>
          <w:sz w:val="28"/>
          <w:szCs w:val="28"/>
          <w:lang w:val="en-US" w:eastAsia="zh-CN" w:bidi="ar-SA"/>
        </w:rPr>
        <w:fldChar w:fldCharType="begin"/>
      </w:r>
      <w:r>
        <w:rPr>
          <w:rFonts w:hint="default" w:ascii="宋体" w:hAnsi="宋体" w:eastAsia="宋体" w:cs="宋体"/>
          <w:b/>
          <w:bCs/>
          <w:kern w:val="2"/>
          <w:sz w:val="28"/>
          <w:szCs w:val="28"/>
          <w:lang w:val="en-US" w:eastAsia="zh-CN" w:bidi="ar-SA"/>
        </w:rPr>
        <w:instrText xml:space="preserve">TOC \o "1-1" \h \u </w:instrText>
      </w:r>
      <w:r>
        <w:rPr>
          <w:rFonts w:hint="default" w:ascii="宋体" w:hAnsi="宋体" w:eastAsia="宋体" w:cs="宋体"/>
          <w:b/>
          <w:bCs/>
          <w:kern w:val="2"/>
          <w:sz w:val="28"/>
          <w:szCs w:val="28"/>
          <w:lang w:val="en-US" w:eastAsia="zh-CN" w:bidi="ar-SA"/>
        </w:rPr>
        <w:fldChar w:fldCharType="separate"/>
      </w:r>
      <w:r>
        <w:rPr>
          <w:rFonts w:hint="default" w:ascii="宋体" w:hAnsi="宋体" w:eastAsia="宋体" w:cs="宋体"/>
          <w:bCs/>
          <w:kern w:val="2"/>
          <w:sz w:val="28"/>
          <w:szCs w:val="28"/>
          <w:lang w:val="en-US" w:eastAsia="zh-CN" w:bidi="ar-SA"/>
        </w:rPr>
        <w:fldChar w:fldCharType="begin"/>
      </w:r>
      <w:r>
        <w:rPr>
          <w:rFonts w:hint="default" w:ascii="宋体" w:hAnsi="宋体" w:eastAsia="宋体" w:cs="宋体"/>
          <w:bCs/>
          <w:kern w:val="2"/>
          <w:sz w:val="28"/>
          <w:szCs w:val="28"/>
          <w:lang w:val="en-US" w:eastAsia="zh-CN" w:bidi="ar-SA"/>
        </w:rPr>
        <w:instrText xml:space="preserve"> HYPERLINK \l _Toc11051 </w:instrText>
      </w:r>
      <w:r>
        <w:rPr>
          <w:rFonts w:hint="default" w:ascii="宋体" w:hAnsi="宋体" w:eastAsia="宋体" w:cs="宋体"/>
          <w:bCs/>
          <w:kern w:val="2"/>
          <w:sz w:val="28"/>
          <w:szCs w:val="28"/>
          <w:lang w:val="en-US" w:eastAsia="zh-CN" w:bidi="ar-SA"/>
        </w:rPr>
        <w:fldChar w:fldCharType="separate"/>
      </w:r>
      <w:r>
        <w:rPr>
          <w:rFonts w:hint="default" w:ascii="宋体" w:hAnsi="宋体" w:cs="宋体"/>
          <w:bCs/>
          <w:sz w:val="28"/>
          <w:szCs w:val="28"/>
          <w:lang w:val="en-US" w:eastAsia="zh-CN"/>
        </w:rPr>
        <w:t xml:space="preserve">1. </w:t>
      </w:r>
      <w:r>
        <w:rPr>
          <w:rFonts w:hint="eastAsia" w:ascii="宋体" w:hAnsi="宋体" w:cs="宋体"/>
          <w:bCs/>
          <w:sz w:val="28"/>
          <w:szCs w:val="28"/>
          <w:lang w:val="en-US" w:eastAsia="zh-CN"/>
        </w:rPr>
        <w:t>目的</w:t>
      </w:r>
      <w:r>
        <w:rPr>
          <w:sz w:val="28"/>
          <w:szCs w:val="28"/>
        </w:rPr>
        <w:tab/>
      </w:r>
      <w:r>
        <w:rPr>
          <w:sz w:val="28"/>
          <w:szCs w:val="28"/>
        </w:rPr>
        <w:fldChar w:fldCharType="begin"/>
      </w:r>
      <w:r>
        <w:rPr>
          <w:sz w:val="28"/>
          <w:szCs w:val="28"/>
        </w:rPr>
        <w:instrText xml:space="preserve"> PAGEREF _Toc11051 </w:instrText>
      </w:r>
      <w:r>
        <w:rPr>
          <w:sz w:val="28"/>
          <w:szCs w:val="28"/>
        </w:rPr>
        <w:fldChar w:fldCharType="separate"/>
      </w:r>
      <w:r>
        <w:rPr>
          <w:sz w:val="28"/>
          <w:szCs w:val="28"/>
        </w:rPr>
        <w:t>2</w:t>
      </w:r>
      <w:r>
        <w:rPr>
          <w:sz w:val="28"/>
          <w:szCs w:val="28"/>
        </w:rPr>
        <w:fldChar w:fldCharType="end"/>
      </w:r>
      <w:r>
        <w:rPr>
          <w:rFonts w:hint="default" w:ascii="宋体" w:hAnsi="宋体" w:eastAsia="宋体" w:cs="宋体"/>
          <w:bCs/>
          <w:kern w:val="2"/>
          <w:sz w:val="28"/>
          <w:szCs w:val="28"/>
          <w:lang w:val="en-US" w:eastAsia="zh-CN" w:bidi="ar-SA"/>
        </w:rPr>
        <w:fldChar w:fldCharType="end"/>
      </w:r>
    </w:p>
    <w:p>
      <w:pPr>
        <w:pStyle w:val="4"/>
        <w:tabs>
          <w:tab w:val="right" w:leader="dot" w:pos="8306"/>
        </w:tabs>
        <w:rPr>
          <w:sz w:val="28"/>
          <w:szCs w:val="28"/>
        </w:rPr>
      </w:pPr>
      <w:r>
        <w:rPr>
          <w:rFonts w:hint="default" w:ascii="宋体" w:hAnsi="宋体" w:eastAsia="宋体" w:cs="宋体"/>
          <w:bCs/>
          <w:kern w:val="2"/>
          <w:sz w:val="28"/>
          <w:szCs w:val="28"/>
          <w:lang w:val="en-US" w:eastAsia="zh-CN" w:bidi="ar-SA"/>
        </w:rPr>
        <w:fldChar w:fldCharType="begin"/>
      </w:r>
      <w:r>
        <w:rPr>
          <w:rFonts w:hint="default" w:ascii="宋体" w:hAnsi="宋体" w:eastAsia="宋体" w:cs="宋体"/>
          <w:bCs/>
          <w:kern w:val="2"/>
          <w:sz w:val="28"/>
          <w:szCs w:val="28"/>
          <w:lang w:val="en-US" w:eastAsia="zh-CN" w:bidi="ar-SA"/>
        </w:rPr>
        <w:instrText xml:space="preserve"> HYPERLINK \l _Toc23112 </w:instrText>
      </w:r>
      <w:r>
        <w:rPr>
          <w:rFonts w:hint="default" w:ascii="宋体" w:hAnsi="宋体" w:eastAsia="宋体" w:cs="宋体"/>
          <w:bCs/>
          <w:kern w:val="2"/>
          <w:sz w:val="28"/>
          <w:szCs w:val="28"/>
          <w:lang w:val="en-US" w:eastAsia="zh-CN" w:bidi="ar-SA"/>
        </w:rPr>
        <w:fldChar w:fldCharType="separate"/>
      </w:r>
      <w:r>
        <w:rPr>
          <w:rFonts w:hint="default" w:ascii="宋体" w:hAnsi="宋体" w:eastAsia="宋体" w:cs="宋体"/>
          <w:bCs/>
          <w:sz w:val="28"/>
          <w:szCs w:val="28"/>
          <w:lang w:val="en-US" w:eastAsia="zh-CN"/>
        </w:rPr>
        <w:t xml:space="preserve">2. </w:t>
      </w:r>
      <w:r>
        <w:rPr>
          <w:rFonts w:hint="eastAsia" w:ascii="宋体" w:hAnsi="宋体" w:cs="宋体"/>
          <w:bCs/>
          <w:sz w:val="28"/>
          <w:szCs w:val="28"/>
          <w:lang w:val="en-US" w:eastAsia="zh-CN"/>
        </w:rPr>
        <w:t>适用范围</w:t>
      </w:r>
      <w:r>
        <w:rPr>
          <w:sz w:val="28"/>
          <w:szCs w:val="28"/>
        </w:rPr>
        <w:tab/>
      </w:r>
      <w:r>
        <w:rPr>
          <w:sz w:val="28"/>
          <w:szCs w:val="28"/>
        </w:rPr>
        <w:fldChar w:fldCharType="begin"/>
      </w:r>
      <w:r>
        <w:rPr>
          <w:sz w:val="28"/>
          <w:szCs w:val="28"/>
        </w:rPr>
        <w:instrText xml:space="preserve"> PAGEREF _Toc23112 </w:instrText>
      </w:r>
      <w:r>
        <w:rPr>
          <w:sz w:val="28"/>
          <w:szCs w:val="28"/>
        </w:rPr>
        <w:fldChar w:fldCharType="separate"/>
      </w:r>
      <w:r>
        <w:rPr>
          <w:sz w:val="28"/>
          <w:szCs w:val="28"/>
        </w:rPr>
        <w:t>2</w:t>
      </w:r>
      <w:r>
        <w:rPr>
          <w:sz w:val="28"/>
          <w:szCs w:val="28"/>
        </w:rPr>
        <w:fldChar w:fldCharType="end"/>
      </w:r>
      <w:r>
        <w:rPr>
          <w:rFonts w:hint="default" w:ascii="宋体" w:hAnsi="宋体" w:eastAsia="宋体" w:cs="宋体"/>
          <w:bCs/>
          <w:kern w:val="2"/>
          <w:sz w:val="28"/>
          <w:szCs w:val="28"/>
          <w:lang w:val="en-US" w:eastAsia="zh-CN" w:bidi="ar-SA"/>
        </w:rPr>
        <w:fldChar w:fldCharType="end"/>
      </w:r>
    </w:p>
    <w:p>
      <w:pPr>
        <w:pStyle w:val="4"/>
        <w:tabs>
          <w:tab w:val="right" w:leader="dot" w:pos="8306"/>
        </w:tabs>
        <w:rPr>
          <w:sz w:val="28"/>
          <w:szCs w:val="28"/>
        </w:rPr>
      </w:pPr>
      <w:r>
        <w:rPr>
          <w:rFonts w:hint="default" w:ascii="宋体" w:hAnsi="宋体" w:eastAsia="宋体" w:cs="宋体"/>
          <w:bCs/>
          <w:kern w:val="2"/>
          <w:sz w:val="28"/>
          <w:szCs w:val="28"/>
          <w:lang w:val="en-US" w:eastAsia="zh-CN" w:bidi="ar-SA"/>
        </w:rPr>
        <w:fldChar w:fldCharType="begin"/>
      </w:r>
      <w:r>
        <w:rPr>
          <w:rFonts w:hint="default" w:ascii="宋体" w:hAnsi="宋体" w:eastAsia="宋体" w:cs="宋体"/>
          <w:bCs/>
          <w:kern w:val="2"/>
          <w:sz w:val="28"/>
          <w:szCs w:val="28"/>
          <w:lang w:val="en-US" w:eastAsia="zh-CN" w:bidi="ar-SA"/>
        </w:rPr>
        <w:instrText xml:space="preserve"> HYPERLINK \l _Toc18018 </w:instrText>
      </w:r>
      <w:r>
        <w:rPr>
          <w:rFonts w:hint="default" w:ascii="宋体" w:hAnsi="宋体" w:eastAsia="宋体" w:cs="宋体"/>
          <w:bCs/>
          <w:kern w:val="2"/>
          <w:sz w:val="28"/>
          <w:szCs w:val="28"/>
          <w:lang w:val="en-US" w:eastAsia="zh-CN" w:bidi="ar-SA"/>
        </w:rPr>
        <w:fldChar w:fldCharType="separate"/>
      </w:r>
      <w:r>
        <w:rPr>
          <w:rFonts w:hint="default" w:ascii="宋体" w:hAnsi="宋体" w:cs="宋体"/>
          <w:bCs/>
          <w:sz w:val="28"/>
          <w:szCs w:val="28"/>
          <w:lang w:val="en-US" w:eastAsia="zh-CN"/>
        </w:rPr>
        <w:t xml:space="preserve">3. </w:t>
      </w:r>
      <w:r>
        <w:rPr>
          <w:rFonts w:hint="eastAsia" w:ascii="宋体" w:hAnsi="宋体" w:cs="宋体"/>
          <w:bCs/>
          <w:sz w:val="28"/>
          <w:szCs w:val="28"/>
          <w:lang w:val="en-US" w:eastAsia="zh-CN"/>
        </w:rPr>
        <w:t>技术特性</w:t>
      </w:r>
      <w:r>
        <w:rPr>
          <w:sz w:val="28"/>
          <w:szCs w:val="28"/>
        </w:rPr>
        <w:tab/>
      </w:r>
      <w:r>
        <w:rPr>
          <w:sz w:val="28"/>
          <w:szCs w:val="28"/>
        </w:rPr>
        <w:fldChar w:fldCharType="begin"/>
      </w:r>
      <w:r>
        <w:rPr>
          <w:sz w:val="28"/>
          <w:szCs w:val="28"/>
        </w:rPr>
        <w:instrText xml:space="preserve"> PAGEREF _Toc18018 </w:instrText>
      </w:r>
      <w:r>
        <w:rPr>
          <w:sz w:val="28"/>
          <w:szCs w:val="28"/>
        </w:rPr>
        <w:fldChar w:fldCharType="separate"/>
      </w:r>
      <w:r>
        <w:rPr>
          <w:sz w:val="28"/>
          <w:szCs w:val="28"/>
        </w:rPr>
        <w:t>2</w:t>
      </w:r>
      <w:r>
        <w:rPr>
          <w:sz w:val="28"/>
          <w:szCs w:val="28"/>
        </w:rPr>
        <w:fldChar w:fldCharType="end"/>
      </w:r>
      <w:r>
        <w:rPr>
          <w:rFonts w:hint="default" w:ascii="宋体" w:hAnsi="宋体" w:eastAsia="宋体" w:cs="宋体"/>
          <w:bCs/>
          <w:kern w:val="2"/>
          <w:sz w:val="28"/>
          <w:szCs w:val="28"/>
          <w:lang w:val="en-US" w:eastAsia="zh-CN" w:bidi="ar-SA"/>
        </w:rPr>
        <w:fldChar w:fldCharType="end"/>
      </w:r>
    </w:p>
    <w:p>
      <w:pPr>
        <w:pStyle w:val="4"/>
        <w:tabs>
          <w:tab w:val="right" w:leader="dot" w:pos="8306"/>
        </w:tabs>
        <w:rPr>
          <w:sz w:val="28"/>
          <w:szCs w:val="28"/>
        </w:rPr>
      </w:pPr>
      <w:r>
        <w:rPr>
          <w:rFonts w:hint="default" w:ascii="宋体" w:hAnsi="宋体" w:eastAsia="宋体" w:cs="宋体"/>
          <w:bCs/>
          <w:kern w:val="2"/>
          <w:sz w:val="28"/>
          <w:szCs w:val="28"/>
          <w:lang w:val="en-US" w:eastAsia="zh-CN" w:bidi="ar-SA"/>
        </w:rPr>
        <w:fldChar w:fldCharType="begin"/>
      </w:r>
      <w:r>
        <w:rPr>
          <w:rFonts w:hint="default" w:ascii="宋体" w:hAnsi="宋体" w:eastAsia="宋体" w:cs="宋体"/>
          <w:bCs/>
          <w:kern w:val="2"/>
          <w:sz w:val="28"/>
          <w:szCs w:val="28"/>
          <w:lang w:val="en-US" w:eastAsia="zh-CN" w:bidi="ar-SA"/>
        </w:rPr>
        <w:instrText xml:space="preserve"> HYPERLINK \l _Toc6580 </w:instrText>
      </w:r>
      <w:r>
        <w:rPr>
          <w:rFonts w:hint="default" w:ascii="宋体" w:hAnsi="宋体" w:eastAsia="宋体" w:cs="宋体"/>
          <w:bCs/>
          <w:kern w:val="2"/>
          <w:sz w:val="28"/>
          <w:szCs w:val="28"/>
          <w:lang w:val="en-US" w:eastAsia="zh-CN" w:bidi="ar-SA"/>
        </w:rPr>
        <w:fldChar w:fldCharType="separate"/>
      </w:r>
      <w:r>
        <w:rPr>
          <w:rFonts w:hint="default" w:ascii="宋体" w:hAnsi="宋体" w:cs="宋体"/>
          <w:bCs/>
          <w:sz w:val="28"/>
          <w:szCs w:val="28"/>
          <w:lang w:val="en-US" w:eastAsia="zh-CN"/>
        </w:rPr>
        <w:t xml:space="preserve">4. </w:t>
      </w:r>
      <w:r>
        <w:rPr>
          <w:rFonts w:hint="eastAsia" w:ascii="宋体" w:hAnsi="宋体" w:cs="宋体"/>
          <w:bCs/>
          <w:sz w:val="28"/>
          <w:szCs w:val="28"/>
          <w:lang w:val="en-US" w:eastAsia="zh-CN"/>
        </w:rPr>
        <w:t>安装注意事项</w:t>
      </w:r>
      <w:r>
        <w:rPr>
          <w:sz w:val="28"/>
          <w:szCs w:val="28"/>
        </w:rPr>
        <w:tab/>
      </w:r>
      <w:r>
        <w:rPr>
          <w:sz w:val="28"/>
          <w:szCs w:val="28"/>
        </w:rPr>
        <w:fldChar w:fldCharType="begin"/>
      </w:r>
      <w:r>
        <w:rPr>
          <w:sz w:val="28"/>
          <w:szCs w:val="28"/>
        </w:rPr>
        <w:instrText xml:space="preserve"> PAGEREF _Toc6580 </w:instrText>
      </w:r>
      <w:r>
        <w:rPr>
          <w:sz w:val="28"/>
          <w:szCs w:val="28"/>
        </w:rPr>
        <w:fldChar w:fldCharType="separate"/>
      </w:r>
      <w:r>
        <w:rPr>
          <w:sz w:val="28"/>
          <w:szCs w:val="28"/>
        </w:rPr>
        <w:t>3</w:t>
      </w:r>
      <w:r>
        <w:rPr>
          <w:sz w:val="28"/>
          <w:szCs w:val="28"/>
        </w:rPr>
        <w:fldChar w:fldCharType="end"/>
      </w:r>
      <w:r>
        <w:rPr>
          <w:rFonts w:hint="default" w:ascii="宋体" w:hAnsi="宋体" w:eastAsia="宋体" w:cs="宋体"/>
          <w:bCs/>
          <w:kern w:val="2"/>
          <w:sz w:val="28"/>
          <w:szCs w:val="28"/>
          <w:lang w:val="en-US" w:eastAsia="zh-CN" w:bidi="ar-SA"/>
        </w:rPr>
        <w:fldChar w:fldCharType="end"/>
      </w:r>
    </w:p>
    <w:p>
      <w:pPr>
        <w:pStyle w:val="4"/>
        <w:tabs>
          <w:tab w:val="right" w:leader="dot" w:pos="8306"/>
        </w:tabs>
        <w:rPr>
          <w:sz w:val="28"/>
          <w:szCs w:val="28"/>
        </w:rPr>
      </w:pPr>
      <w:r>
        <w:rPr>
          <w:rFonts w:hint="default" w:ascii="宋体" w:hAnsi="宋体" w:eastAsia="宋体" w:cs="宋体"/>
          <w:bCs/>
          <w:kern w:val="2"/>
          <w:sz w:val="28"/>
          <w:szCs w:val="28"/>
          <w:lang w:val="en-US" w:eastAsia="zh-CN" w:bidi="ar-SA"/>
        </w:rPr>
        <w:fldChar w:fldCharType="begin"/>
      </w:r>
      <w:r>
        <w:rPr>
          <w:rFonts w:hint="default" w:ascii="宋体" w:hAnsi="宋体" w:eastAsia="宋体" w:cs="宋体"/>
          <w:bCs/>
          <w:kern w:val="2"/>
          <w:sz w:val="28"/>
          <w:szCs w:val="28"/>
          <w:lang w:val="en-US" w:eastAsia="zh-CN" w:bidi="ar-SA"/>
        </w:rPr>
        <w:instrText xml:space="preserve"> HYPERLINK \l _Toc3345 </w:instrText>
      </w:r>
      <w:r>
        <w:rPr>
          <w:rFonts w:hint="default" w:ascii="宋体" w:hAnsi="宋体" w:eastAsia="宋体" w:cs="宋体"/>
          <w:bCs/>
          <w:kern w:val="2"/>
          <w:sz w:val="28"/>
          <w:szCs w:val="28"/>
          <w:lang w:val="en-US" w:eastAsia="zh-CN" w:bidi="ar-SA"/>
        </w:rPr>
        <w:fldChar w:fldCharType="separate"/>
      </w:r>
      <w:r>
        <w:rPr>
          <w:rFonts w:hint="eastAsia" w:ascii="宋体" w:hAnsi="宋体" w:eastAsia="宋体" w:cs="宋体"/>
          <w:bCs/>
          <w:sz w:val="28"/>
          <w:szCs w:val="28"/>
          <w:lang w:val="en-US" w:eastAsia="zh-CN"/>
        </w:rPr>
        <w:t>5. 供电方式选择</w:t>
      </w:r>
      <w:r>
        <w:rPr>
          <w:sz w:val="28"/>
          <w:szCs w:val="28"/>
        </w:rPr>
        <w:tab/>
      </w:r>
      <w:r>
        <w:rPr>
          <w:sz w:val="28"/>
          <w:szCs w:val="28"/>
        </w:rPr>
        <w:fldChar w:fldCharType="begin"/>
      </w:r>
      <w:r>
        <w:rPr>
          <w:sz w:val="28"/>
          <w:szCs w:val="28"/>
        </w:rPr>
        <w:instrText xml:space="preserve"> PAGEREF _Toc3345 </w:instrText>
      </w:r>
      <w:r>
        <w:rPr>
          <w:sz w:val="28"/>
          <w:szCs w:val="28"/>
        </w:rPr>
        <w:fldChar w:fldCharType="separate"/>
      </w:r>
      <w:r>
        <w:rPr>
          <w:sz w:val="28"/>
          <w:szCs w:val="28"/>
        </w:rPr>
        <w:t>4</w:t>
      </w:r>
      <w:r>
        <w:rPr>
          <w:sz w:val="28"/>
          <w:szCs w:val="28"/>
        </w:rPr>
        <w:fldChar w:fldCharType="end"/>
      </w:r>
      <w:r>
        <w:rPr>
          <w:rFonts w:hint="default" w:ascii="宋体" w:hAnsi="宋体" w:eastAsia="宋体" w:cs="宋体"/>
          <w:bCs/>
          <w:kern w:val="2"/>
          <w:sz w:val="28"/>
          <w:szCs w:val="28"/>
          <w:lang w:val="en-US" w:eastAsia="zh-CN" w:bidi="ar-SA"/>
        </w:rPr>
        <w:fldChar w:fldCharType="end"/>
      </w:r>
    </w:p>
    <w:p>
      <w:pPr>
        <w:numPr>
          <w:ilvl w:val="0"/>
          <w:numId w:val="0"/>
        </w:numPr>
        <w:jc w:val="both"/>
        <w:rPr>
          <w:rFonts w:hint="default" w:ascii="宋体" w:hAnsi="宋体" w:eastAsia="宋体" w:cs="宋体"/>
          <w:bCs/>
          <w:kern w:val="2"/>
          <w:sz w:val="28"/>
          <w:szCs w:val="28"/>
          <w:lang w:val="en-US" w:eastAsia="zh-CN" w:bidi="ar-SA"/>
        </w:rPr>
      </w:pPr>
      <w:r>
        <w:rPr>
          <w:rFonts w:hint="default" w:ascii="宋体" w:hAnsi="宋体" w:eastAsia="宋体" w:cs="宋体"/>
          <w:bCs/>
          <w:kern w:val="2"/>
          <w:sz w:val="28"/>
          <w:szCs w:val="28"/>
          <w:lang w:val="en-US" w:eastAsia="zh-CN" w:bidi="ar-SA"/>
        </w:rPr>
        <w:fldChar w:fldCharType="end"/>
      </w: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1"/>
        </w:numPr>
        <w:jc w:val="both"/>
        <w:outlineLvl w:val="0"/>
        <w:rPr>
          <w:rFonts w:hint="default" w:ascii="宋体" w:hAnsi="宋体" w:cs="宋体"/>
          <w:b/>
          <w:bCs/>
          <w:sz w:val="32"/>
          <w:szCs w:val="40"/>
          <w:lang w:val="en-US" w:eastAsia="zh-CN"/>
        </w:rPr>
      </w:pPr>
      <w:bookmarkStart w:id="0" w:name="_Toc11051"/>
      <w:r>
        <w:rPr>
          <w:rFonts w:hint="eastAsia" w:ascii="宋体" w:hAnsi="宋体" w:cs="宋体"/>
          <w:b/>
          <w:bCs/>
          <w:sz w:val="36"/>
          <w:szCs w:val="44"/>
          <w:lang w:val="en-US" w:eastAsia="zh-CN"/>
        </w:rPr>
        <w:t>目的</w:t>
      </w:r>
      <w:bookmarkEnd w:id="0"/>
    </w:p>
    <w:p>
      <w:pPr>
        <w:numPr>
          <w:ilvl w:val="0"/>
          <w:numId w:val="0"/>
        </w:numPr>
        <w:ind w:firstLine="480" w:firstLineChars="200"/>
        <w:jc w:val="both"/>
        <w:rPr>
          <w:rFonts w:hint="default" w:ascii="宋体" w:hAnsi="宋体" w:cs="宋体"/>
          <w:b w:val="0"/>
          <w:bCs w:val="0"/>
          <w:sz w:val="24"/>
          <w:szCs w:val="32"/>
          <w:lang w:val="en-US" w:eastAsia="zh-CN"/>
        </w:rPr>
      </w:pPr>
      <w:r>
        <w:rPr>
          <w:rFonts w:hint="eastAsia" w:ascii="宋体" w:hAnsi="宋体" w:cs="宋体"/>
          <w:b w:val="0"/>
          <w:bCs w:val="0"/>
          <w:sz w:val="24"/>
          <w:szCs w:val="32"/>
          <w:lang w:val="en-US" w:eastAsia="zh-CN"/>
        </w:rPr>
        <w:t>产品标准书是为了确保维持我公司生产的监控系统产品的品质而制定的生产标准及检验标准。</w:t>
      </w:r>
    </w:p>
    <w:p>
      <w:pPr>
        <w:numPr>
          <w:ilvl w:val="0"/>
          <w:numId w:val="1"/>
        </w:numPr>
        <w:jc w:val="both"/>
        <w:outlineLvl w:val="0"/>
        <w:rPr>
          <w:rFonts w:hint="default" w:ascii="宋体" w:hAnsi="宋体" w:eastAsia="宋体" w:cs="宋体"/>
          <w:b/>
          <w:bCs/>
          <w:sz w:val="36"/>
          <w:szCs w:val="44"/>
          <w:lang w:val="en-US" w:eastAsia="zh-CN"/>
        </w:rPr>
      </w:pPr>
      <w:bookmarkStart w:id="1" w:name="_Toc23112"/>
      <w:r>
        <w:rPr>
          <w:rFonts w:hint="eastAsia" w:ascii="宋体" w:hAnsi="宋体" w:cs="宋体"/>
          <w:b/>
          <w:bCs/>
          <w:sz w:val="36"/>
          <w:szCs w:val="44"/>
          <w:lang w:val="en-US" w:eastAsia="zh-CN"/>
        </w:rPr>
        <w:t>适用范围</w:t>
      </w:r>
      <w:bookmarkEnd w:id="1"/>
    </w:p>
    <w:p>
      <w:pPr>
        <w:numPr>
          <w:ilvl w:val="0"/>
          <w:numId w:val="0"/>
        </w:numPr>
        <w:ind w:firstLine="481"/>
        <w:jc w:val="both"/>
        <w:rPr>
          <w:rFonts w:hint="eastAsia" w:ascii="宋体" w:hAnsi="宋体" w:cs="宋体"/>
          <w:b w:val="0"/>
          <w:bCs w:val="0"/>
          <w:sz w:val="24"/>
          <w:szCs w:val="32"/>
          <w:lang w:val="en-US" w:eastAsia="zh-CN"/>
        </w:rPr>
      </w:pPr>
      <w:r>
        <w:rPr>
          <w:rFonts w:hint="eastAsia" w:ascii="宋体" w:hAnsi="宋体" w:cs="宋体"/>
          <w:b w:val="0"/>
          <w:bCs w:val="0"/>
          <w:sz w:val="24"/>
          <w:szCs w:val="32"/>
          <w:lang w:val="en-US" w:eastAsia="zh-CN"/>
        </w:rPr>
        <w:t>适用于以下范围：</w:t>
      </w:r>
    </w:p>
    <w:tbl>
      <w:tblPr>
        <w:tblStyle w:val="5"/>
        <w:tblW w:w="8335" w:type="dxa"/>
        <w:tblInd w:w="0" w:type="dxa"/>
        <w:tblLayout w:type="autofit"/>
        <w:tblCellMar>
          <w:top w:w="0" w:type="dxa"/>
          <w:left w:w="0" w:type="dxa"/>
          <w:bottom w:w="0" w:type="dxa"/>
          <w:right w:w="0" w:type="dxa"/>
        </w:tblCellMar>
      </w:tblPr>
      <w:tblGrid>
        <w:gridCol w:w="960"/>
        <w:gridCol w:w="7375"/>
      </w:tblGrid>
      <w:tr>
        <w:tblPrEx>
          <w:tblCellMar>
            <w:top w:w="0" w:type="dxa"/>
            <w:left w:w="0" w:type="dxa"/>
            <w:bottom w:w="0" w:type="dxa"/>
            <w:right w:w="0"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产品名</w:t>
            </w:r>
          </w:p>
        </w:tc>
        <w:tc>
          <w:tcPr>
            <w:tcW w:w="73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废气治理设施工况动态监测系统</w:t>
            </w:r>
          </w:p>
        </w:tc>
      </w:tr>
      <w:tr>
        <w:tblPrEx>
          <w:tblCellMar>
            <w:top w:w="0" w:type="dxa"/>
            <w:left w:w="0" w:type="dxa"/>
            <w:bottom w:w="0" w:type="dxa"/>
            <w:right w:w="0"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生产商</w:t>
            </w:r>
          </w:p>
        </w:tc>
        <w:tc>
          <w:tcPr>
            <w:tcW w:w="73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温州宏瑞节能环保科技有限公司</w:t>
            </w:r>
          </w:p>
        </w:tc>
      </w:tr>
      <w:tr>
        <w:tblPrEx>
          <w:tblCellMar>
            <w:top w:w="0" w:type="dxa"/>
            <w:left w:w="0" w:type="dxa"/>
            <w:bottom w:w="0" w:type="dxa"/>
            <w:right w:w="0"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使用目的</w:t>
            </w:r>
          </w:p>
        </w:tc>
        <w:tc>
          <w:tcPr>
            <w:tcW w:w="7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对特定程度的气体</w:t>
            </w:r>
            <w:r>
              <w:rPr>
                <w:rFonts w:hint="eastAsia" w:ascii="宋体" w:hAnsi="宋体" w:cs="宋体"/>
                <w:i w:val="0"/>
                <w:color w:val="000000"/>
                <w:kern w:val="0"/>
                <w:sz w:val="22"/>
                <w:szCs w:val="22"/>
                <w:u w:val="none"/>
                <w:lang w:val="en-US" w:eastAsia="zh-CN" w:bidi="ar"/>
              </w:rPr>
              <w:t>的排污处理的设施工作情况</w:t>
            </w:r>
            <w:r>
              <w:rPr>
                <w:rFonts w:hint="eastAsia" w:ascii="宋体" w:hAnsi="宋体" w:eastAsia="宋体" w:cs="宋体"/>
                <w:i w:val="0"/>
                <w:color w:val="000000"/>
                <w:kern w:val="0"/>
                <w:sz w:val="22"/>
                <w:szCs w:val="22"/>
                <w:u w:val="none"/>
                <w:lang w:val="en-US" w:eastAsia="zh-CN" w:bidi="ar"/>
              </w:rPr>
              <w:t>进行</w:t>
            </w:r>
            <w:r>
              <w:rPr>
                <w:rFonts w:hint="eastAsia" w:ascii="宋体" w:hAnsi="宋体" w:cs="宋体"/>
                <w:i w:val="0"/>
                <w:color w:val="000000"/>
                <w:kern w:val="0"/>
                <w:sz w:val="22"/>
                <w:szCs w:val="22"/>
                <w:u w:val="none"/>
                <w:lang w:val="en-US" w:eastAsia="zh-CN" w:bidi="ar"/>
              </w:rPr>
              <w:t>远程监督控管理</w:t>
            </w:r>
          </w:p>
        </w:tc>
      </w:tr>
      <w:tr>
        <w:tblPrEx>
          <w:tblCellMar>
            <w:top w:w="0" w:type="dxa"/>
            <w:left w:w="0" w:type="dxa"/>
            <w:bottom w:w="0" w:type="dxa"/>
            <w:right w:w="0"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适用范围</w:t>
            </w:r>
          </w:p>
        </w:tc>
        <w:tc>
          <w:tcPr>
            <w:tcW w:w="7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制鞋、工业涂装、包装印刷、有色金属、农副食品加工、塑料行业、电镀、不锈钢等会排放大量废气的行业</w:t>
            </w:r>
          </w:p>
        </w:tc>
      </w:tr>
    </w:tbl>
    <w:p>
      <w:pPr>
        <w:numPr>
          <w:ilvl w:val="0"/>
          <w:numId w:val="1"/>
        </w:numPr>
        <w:ind w:left="0" w:leftChars="0" w:firstLine="0" w:firstLineChars="0"/>
        <w:jc w:val="both"/>
        <w:outlineLvl w:val="0"/>
        <w:rPr>
          <w:rFonts w:hint="default" w:ascii="宋体" w:hAnsi="宋体" w:cs="宋体"/>
          <w:b/>
          <w:bCs/>
          <w:sz w:val="36"/>
          <w:szCs w:val="44"/>
          <w:lang w:val="en-US" w:eastAsia="zh-CN"/>
        </w:rPr>
      </w:pPr>
      <w:bookmarkStart w:id="2" w:name="_Toc18018"/>
      <w:r>
        <w:rPr>
          <w:rFonts w:hint="eastAsia" w:ascii="宋体" w:hAnsi="宋体" w:cs="宋体"/>
          <w:b/>
          <w:bCs/>
          <w:sz w:val="36"/>
          <w:szCs w:val="44"/>
          <w:lang w:val="en-US" w:eastAsia="zh-CN"/>
        </w:rPr>
        <w:t>技术特性</w:t>
      </w:r>
      <w:bookmarkEnd w:id="2"/>
    </w:p>
    <w:p>
      <w:pPr>
        <w:numPr>
          <w:ilvl w:val="1"/>
          <w:numId w:val="1"/>
        </w:numPr>
        <w:ind w:left="0" w:leftChars="0" w:firstLine="0" w:firstLineChars="0"/>
        <w:jc w:val="both"/>
        <w:outlineLvl w:val="1"/>
        <w:rPr>
          <w:rFonts w:hint="eastAsia" w:ascii="宋体" w:hAnsi="宋体" w:cs="宋体"/>
          <w:b/>
          <w:bCs/>
          <w:sz w:val="32"/>
          <w:szCs w:val="40"/>
          <w:lang w:val="en-US" w:eastAsia="zh-CN"/>
        </w:rPr>
      </w:pPr>
      <w:r>
        <w:rPr>
          <w:rFonts w:hint="eastAsia" w:ascii="宋体" w:hAnsi="宋体" w:cs="宋体"/>
          <w:b/>
          <w:bCs/>
          <w:sz w:val="32"/>
          <w:szCs w:val="40"/>
          <w:lang w:val="en-US" w:eastAsia="zh-CN"/>
        </w:rPr>
        <w:t>主要功能</w:t>
      </w:r>
    </w:p>
    <w:p>
      <w:pPr>
        <w:numPr>
          <w:ilvl w:val="0"/>
          <w:numId w:val="0"/>
        </w:numPr>
        <w:ind w:leftChars="0" w:firstLine="480" w:firstLineChars="200"/>
        <w:jc w:val="both"/>
        <w:outlineLvl w:val="9"/>
        <w:rPr>
          <w:rFonts w:hint="default" w:ascii="宋体" w:hAnsi="宋体" w:eastAsia="宋体" w:cs="宋体"/>
          <w:b/>
          <w:bCs/>
          <w:color w:val="000000"/>
          <w:sz w:val="24"/>
          <w:szCs w:val="24"/>
          <w:lang w:val="en-US" w:eastAsia="zh-CN"/>
        </w:rPr>
      </w:pPr>
      <w:r>
        <w:rPr>
          <w:rFonts w:hint="eastAsia"/>
          <w:color w:val="000000"/>
          <w:sz w:val="24"/>
          <w:szCs w:val="24"/>
          <w:lang w:val="en-US" w:eastAsia="zh-CN"/>
        </w:rPr>
        <w:t>利用无人监管设备检测对企业生产经营中产生的废气处理设施的工作情况进行监管。在相关生产线开启的情况下，对应处理设施必须开启，若是没有按规定启动运行，则提示警告并通知监管单位。</w:t>
      </w:r>
    </w:p>
    <w:p>
      <w:pPr>
        <w:numPr>
          <w:ilvl w:val="1"/>
          <w:numId w:val="1"/>
        </w:numPr>
        <w:ind w:left="0" w:leftChars="0" w:firstLine="0" w:firstLineChars="0"/>
        <w:jc w:val="both"/>
        <w:outlineLvl w:val="1"/>
        <w:rPr>
          <w:rFonts w:hint="default" w:ascii="宋体" w:hAnsi="宋体" w:cs="宋体"/>
          <w:b/>
          <w:bCs/>
          <w:sz w:val="32"/>
          <w:szCs w:val="40"/>
          <w:lang w:val="en-US" w:eastAsia="zh-CN"/>
        </w:rPr>
      </w:pPr>
      <w:r>
        <w:rPr>
          <w:rFonts w:hint="eastAsia" w:ascii="宋体" w:hAnsi="宋体" w:cs="宋体"/>
          <w:b/>
          <w:bCs/>
          <w:sz w:val="32"/>
          <w:szCs w:val="40"/>
          <w:lang w:val="en-US" w:eastAsia="zh-CN"/>
        </w:rPr>
        <w:t>主要参数</w:t>
      </w:r>
    </w:p>
    <w:tbl>
      <w:tblPr>
        <w:tblStyle w:val="5"/>
        <w:tblW w:w="8333" w:type="dxa"/>
        <w:tblInd w:w="0" w:type="dxa"/>
        <w:tblLayout w:type="autofit"/>
        <w:tblCellMar>
          <w:top w:w="0" w:type="dxa"/>
          <w:left w:w="0" w:type="dxa"/>
          <w:bottom w:w="0" w:type="dxa"/>
          <w:right w:w="0" w:type="dxa"/>
        </w:tblCellMar>
      </w:tblPr>
      <w:tblGrid>
        <w:gridCol w:w="2388"/>
        <w:gridCol w:w="1372"/>
        <w:gridCol w:w="4573"/>
      </w:tblGrid>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直流供电（默认）</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10~30V DC</w:t>
            </w:r>
          </w:p>
        </w:tc>
      </w:tr>
      <w:tr>
        <w:tblPrEx>
          <w:tblCellMar>
            <w:top w:w="0" w:type="dxa"/>
            <w:left w:w="0" w:type="dxa"/>
            <w:bottom w:w="0" w:type="dxa"/>
            <w:right w:w="0" w:type="dxa"/>
          </w:tblCellMar>
        </w:tblPrEx>
        <w:trPr>
          <w:trHeight w:val="360" w:hRule="atLeast"/>
        </w:trPr>
        <w:tc>
          <w:tcPr>
            <w:tcW w:w="833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电磁流量计</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准确度等级</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0.5级：1.0级</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流量测量范围</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对应流速最好在0.15~10m/s</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电导率范围</w:t>
            </w:r>
          </w:p>
        </w:tc>
        <w:tc>
          <w:tcPr>
            <w:tcW w:w="13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水</w:t>
            </w:r>
          </w:p>
        </w:tc>
        <w:tc>
          <w:tcPr>
            <w:tcW w:w="4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200~800us/cm</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防护等级</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IP68/IP65</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环境温度</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-25~45℃</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相对湿度</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5%~95%</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消耗总功率</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小于20W</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供电电源</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220VAC±10%，50Hz±5%，12VDC</w:t>
            </w:r>
          </w:p>
        </w:tc>
      </w:tr>
      <w:tr>
        <w:tblPrEx>
          <w:tblCellMar>
            <w:top w:w="0" w:type="dxa"/>
            <w:left w:w="0" w:type="dxa"/>
            <w:bottom w:w="0" w:type="dxa"/>
            <w:right w:w="0" w:type="dxa"/>
          </w:tblCellMar>
        </w:tblPrEx>
        <w:trPr>
          <w:trHeight w:val="360" w:hRule="atLeast"/>
        </w:trPr>
        <w:tc>
          <w:tcPr>
            <w:tcW w:w="833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风压传感器</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量程</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30~2000Pa</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工作温度</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 xml:space="preserve"> -30~85℃（过压5000 Pa）；</w:t>
            </w:r>
          </w:p>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-30~75℃（过压7500 Pa）</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可选量程</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30~300;50~500;100~1000;500～2000(选用100~1000)</w:t>
            </w:r>
          </w:p>
        </w:tc>
      </w:tr>
      <w:tr>
        <w:tblPrEx>
          <w:tblCellMar>
            <w:top w:w="0" w:type="dxa"/>
            <w:left w:w="0" w:type="dxa"/>
            <w:bottom w:w="0" w:type="dxa"/>
            <w:right w:w="0" w:type="dxa"/>
          </w:tblCellMar>
        </w:tblPrEx>
        <w:trPr>
          <w:trHeight w:val="360" w:hRule="atLeast"/>
        </w:trPr>
        <w:tc>
          <w:tcPr>
            <w:tcW w:w="833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黑体" w:eastAsia="黑体"/>
                <w:b w:val="0"/>
                <w:bCs/>
                <w:sz w:val="24"/>
                <w:lang w:eastAsia="zh-CN"/>
              </w:rPr>
              <w:t>工况数据采集模块</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功    能</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在线监测</w:t>
            </w:r>
          </w:p>
        </w:tc>
      </w:tr>
      <w:tr>
        <w:tblPrEx>
          <w:tblCellMar>
            <w:top w:w="0" w:type="dxa"/>
            <w:left w:w="0" w:type="dxa"/>
            <w:bottom w:w="0" w:type="dxa"/>
            <w:right w:w="0" w:type="dxa"/>
          </w:tblCellMar>
        </w:tblPrEx>
        <w:trPr>
          <w:trHeight w:val="360" w:hRule="atLeast"/>
        </w:trPr>
        <w:tc>
          <w:tcPr>
            <w:tcW w:w="2388" w:type="dxa"/>
            <w:tcBorders>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电    源</w:t>
            </w:r>
          </w:p>
        </w:tc>
        <w:tc>
          <w:tcPr>
            <w:tcW w:w="5945" w:type="dxa"/>
            <w:gridSpan w:val="2"/>
            <w:tcBorders>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无线网络通讯器：</w:t>
            </w:r>
            <w:r>
              <w:rPr>
                <w:rFonts w:hint="eastAsia" w:ascii="宋体" w:hAnsi="宋体" w:cs="宋体"/>
                <w:sz w:val="24"/>
                <w:lang w:val="en-US" w:eastAsia="zh-CN"/>
              </w:rPr>
              <w:t>12</w:t>
            </w:r>
            <w:r>
              <w:rPr>
                <w:rFonts w:hint="eastAsia" w:ascii="宋体" w:hAnsi="宋体" w:eastAsia="宋体" w:cs="宋体"/>
                <w:sz w:val="24"/>
              </w:rPr>
              <w:t>VDC，150mA Max.(内置GSM模块)</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连接线</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1条，长1米(5芯屏蔽线)</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接线标识</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sz w:val="24"/>
              </w:rPr>
            </w:pPr>
            <w:r>
              <w:rPr>
                <w:rFonts w:hint="eastAsia" w:ascii="宋体" w:hAnsi="宋体" w:eastAsia="宋体" w:cs="宋体"/>
                <w:sz w:val="24"/>
              </w:rPr>
              <w:t>红/棕色---电源输入正；</w:t>
            </w:r>
          </w:p>
          <w:p>
            <w:pPr>
              <w:spacing w:line="240" w:lineRule="atLeast"/>
              <w:rPr>
                <w:rFonts w:hint="eastAsia" w:ascii="宋体" w:hAnsi="宋体" w:eastAsia="宋体" w:cs="宋体"/>
                <w:sz w:val="24"/>
              </w:rPr>
            </w:pPr>
            <w:r>
              <w:rPr>
                <w:rFonts w:hint="eastAsia" w:ascii="宋体" w:hAnsi="宋体" w:eastAsia="宋体" w:cs="宋体"/>
                <w:sz w:val="24"/>
              </w:rPr>
              <w:t xml:space="preserve">黑色---电源输入地； </w:t>
            </w:r>
          </w:p>
          <w:p>
            <w:pPr>
              <w:spacing w:line="240" w:lineRule="atLeast"/>
              <w:rPr>
                <w:rFonts w:hint="eastAsia" w:ascii="宋体" w:hAnsi="宋体" w:eastAsia="宋体" w:cs="宋体"/>
                <w:sz w:val="24"/>
              </w:rPr>
            </w:pPr>
            <w:r>
              <w:rPr>
                <w:rFonts w:hint="eastAsia" w:ascii="宋体" w:hAnsi="宋体" w:eastAsia="宋体" w:cs="宋体"/>
                <w:sz w:val="24"/>
              </w:rPr>
              <w:t>蓝色---RS485</w:t>
            </w:r>
            <w:r>
              <w:rPr>
                <w:rFonts w:hint="eastAsia" w:ascii="宋体" w:hAnsi="宋体" w:cs="宋体"/>
                <w:sz w:val="24"/>
                <w:lang w:val="en-US" w:eastAsia="zh-CN"/>
              </w:rPr>
              <w:t>A</w:t>
            </w:r>
            <w:r>
              <w:rPr>
                <w:rFonts w:hint="eastAsia" w:ascii="宋体" w:hAnsi="宋体" w:eastAsia="宋体" w:cs="宋体"/>
                <w:sz w:val="24"/>
              </w:rPr>
              <w:t>信号；</w:t>
            </w:r>
          </w:p>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灰色---RS485</w:t>
            </w:r>
            <w:r>
              <w:rPr>
                <w:rFonts w:hint="eastAsia" w:ascii="宋体" w:hAnsi="宋体" w:cs="宋体"/>
                <w:sz w:val="24"/>
                <w:lang w:val="en-US" w:eastAsia="zh-CN"/>
              </w:rPr>
              <w:t>B</w:t>
            </w:r>
            <w:r>
              <w:rPr>
                <w:rFonts w:hint="eastAsia" w:ascii="宋体" w:hAnsi="宋体" w:eastAsia="宋体" w:cs="宋体"/>
                <w:sz w:val="24"/>
              </w:rPr>
              <w:t>信号；</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通讯方式</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sz w:val="24"/>
              </w:rPr>
            </w:pPr>
            <w:r>
              <w:rPr>
                <w:rFonts w:hint="eastAsia" w:ascii="宋体" w:hAnsi="宋体" w:eastAsia="宋体" w:cs="宋体"/>
                <w:sz w:val="24"/>
              </w:rPr>
              <w:t>有线网络：RS485通信协议</w:t>
            </w:r>
          </w:p>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无线网络：</w:t>
            </w:r>
            <w:r>
              <w:rPr>
                <w:rFonts w:hint="eastAsia" w:ascii="宋体" w:hAnsi="宋体" w:cs="宋体"/>
                <w:sz w:val="24"/>
                <w:lang w:val="en-US" w:eastAsia="zh-CN"/>
              </w:rPr>
              <w:t>GPRS/CDMA</w:t>
            </w:r>
            <w:r>
              <w:rPr>
                <w:rFonts w:hint="eastAsia" w:ascii="宋体" w:hAnsi="宋体" w:eastAsia="宋体" w:cs="宋体"/>
                <w:sz w:val="24"/>
              </w:rPr>
              <w:t>通信协议</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网络点数</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无线网络：1～100个接地点，可扩展</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通讯距离</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sz w:val="24"/>
              </w:rPr>
            </w:pPr>
            <w:r>
              <w:rPr>
                <w:rFonts w:hint="eastAsia" w:ascii="宋体" w:hAnsi="宋体" w:eastAsia="宋体" w:cs="宋体"/>
                <w:sz w:val="24"/>
              </w:rPr>
              <w:t>有线网络：约1</w:t>
            </w:r>
            <w:r>
              <w:rPr>
                <w:rFonts w:hint="eastAsia" w:ascii="宋体" w:hAnsi="宋体" w:cs="宋体"/>
                <w:sz w:val="24"/>
                <w:lang w:val="en-US" w:eastAsia="zh-CN"/>
              </w:rPr>
              <w:t>0</w:t>
            </w:r>
            <w:r>
              <w:rPr>
                <w:rFonts w:hint="eastAsia" w:ascii="宋体" w:hAnsi="宋体" w:eastAsia="宋体" w:cs="宋体"/>
                <w:sz w:val="24"/>
              </w:rPr>
              <w:t>00米，可扩展</w:t>
            </w:r>
          </w:p>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无线网络：不限制</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报警指示</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HRC-V24IO8</w:t>
            </w:r>
            <w:r>
              <w:rPr>
                <w:rFonts w:hint="eastAsia" w:ascii="宋体" w:hAnsi="宋体" w:eastAsia="宋体" w:cs="宋体"/>
                <w:sz w:val="24"/>
              </w:rPr>
              <w:t>：系统软件报警指示</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报警设置</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HRC-V24IO8</w:t>
            </w:r>
            <w:r>
              <w:rPr>
                <w:rFonts w:hint="eastAsia" w:ascii="宋体" w:hAnsi="宋体" w:eastAsia="宋体" w:cs="宋体"/>
                <w:sz w:val="24"/>
              </w:rPr>
              <w:t>：系统软件设置</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数据显示</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HRC-V24IO8</w:t>
            </w:r>
            <w:r>
              <w:rPr>
                <w:rFonts w:hint="eastAsia" w:ascii="宋体" w:hAnsi="宋体" w:eastAsia="宋体" w:cs="宋体"/>
                <w:sz w:val="24"/>
              </w:rPr>
              <w:t>：4位LCD直接显示，系统软件显示</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lang w:val="en-US" w:eastAsia="zh-CN"/>
              </w:rPr>
              <w:t>点位控制</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HRC-V24IO8: 8路输出、8路输入</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工作温湿度</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-20℃～55℃；20％RH～90％RH</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温湿度误差</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不超过5%</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地线干扰电流</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应避免</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外部磁场</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＜40A/m</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外部电场</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＜1V/m</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单次测量时间</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约0.5秒</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功    耗</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无线网络通讯器：150mA Max.</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安    装</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地线穿心通过</w:t>
            </w:r>
            <w:r>
              <w:rPr>
                <w:rFonts w:hint="eastAsia" w:ascii="宋体" w:hAnsi="宋体" w:eastAsia="宋体" w:cs="宋体"/>
                <w:sz w:val="24"/>
                <w:lang w:eastAsia="zh-CN"/>
              </w:rPr>
              <w:t>工况数据采集模块</w:t>
            </w:r>
            <w:r>
              <w:rPr>
                <w:rFonts w:hint="eastAsia" w:ascii="宋体" w:hAnsi="宋体" w:eastAsia="宋体" w:cs="宋体"/>
                <w:sz w:val="24"/>
              </w:rPr>
              <w:t xml:space="preserve">中心孔 </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防护等级</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 xml:space="preserve">电路板、传感器完全封闭 </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安装要求</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避免雨淋、防水浸安装</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供电方式</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外部提供电源或太阳能电池板加蓄电池供电</w:t>
            </w:r>
          </w:p>
        </w:tc>
      </w:tr>
      <w:tr>
        <w:tblPrEx>
          <w:tblCellMar>
            <w:top w:w="0" w:type="dxa"/>
            <w:left w:w="0" w:type="dxa"/>
            <w:bottom w:w="0" w:type="dxa"/>
            <w:right w:w="0" w:type="dxa"/>
          </w:tblCellMar>
        </w:tblPrEx>
        <w:trPr>
          <w:trHeight w:val="360" w:hRule="atLeast"/>
        </w:trPr>
        <w:tc>
          <w:tcPr>
            <w:tcW w:w="2388" w:type="dxa"/>
            <w:vMerge w:val="restart"/>
            <w:tcBorders>
              <w:top w:val="single" w:color="auto" w:sz="4" w:space="0"/>
              <w:left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选购件</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b/>
                <w:sz w:val="24"/>
              </w:rPr>
              <w:t>不锈钢保护箱</w:t>
            </w:r>
            <w:r>
              <w:rPr>
                <w:rFonts w:hint="eastAsia" w:ascii="宋体" w:hAnsi="宋体" w:eastAsia="宋体" w:cs="宋体"/>
                <w:sz w:val="24"/>
              </w:rPr>
              <w:t>：具有防雨、防尘、防盗、防碰撞功能；</w:t>
            </w:r>
          </w:p>
        </w:tc>
      </w:tr>
      <w:tr>
        <w:tblPrEx>
          <w:tblCellMar>
            <w:top w:w="0" w:type="dxa"/>
            <w:left w:w="0" w:type="dxa"/>
            <w:bottom w:w="0" w:type="dxa"/>
            <w:right w:w="0" w:type="dxa"/>
          </w:tblCellMar>
        </w:tblPrEx>
        <w:trPr>
          <w:trHeight w:val="360" w:hRule="atLeast"/>
        </w:trPr>
        <w:tc>
          <w:tcPr>
            <w:tcW w:w="2388" w:type="dxa"/>
            <w:vMerge w:val="continue"/>
            <w:tcBorders>
              <w:left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b/>
                <w:sz w:val="24"/>
              </w:rPr>
              <w:t>蓄电池：</w:t>
            </w:r>
            <w:r>
              <w:rPr>
                <w:rFonts w:hint="eastAsia" w:ascii="宋体" w:hAnsi="宋体" w:cs="宋体"/>
                <w:b/>
                <w:sz w:val="24"/>
                <w:lang w:val="en-US" w:eastAsia="zh-CN"/>
              </w:rPr>
              <w:t>12</w:t>
            </w:r>
            <w:r>
              <w:rPr>
                <w:rFonts w:hint="eastAsia" w:ascii="宋体" w:hAnsi="宋体" w:eastAsia="宋体" w:cs="宋体"/>
                <w:b/>
                <w:sz w:val="24"/>
              </w:rPr>
              <w:t>V</w:t>
            </w:r>
            <w:r>
              <w:rPr>
                <w:rFonts w:hint="eastAsia" w:ascii="宋体" w:hAnsi="宋体" w:eastAsia="宋体" w:cs="宋体"/>
                <w:b/>
                <w:sz w:val="24"/>
                <w:lang w:val="en-US" w:eastAsia="zh-CN"/>
              </w:rPr>
              <w:t>1</w:t>
            </w:r>
            <w:r>
              <w:rPr>
                <w:rFonts w:hint="eastAsia" w:ascii="宋体" w:hAnsi="宋体" w:cs="宋体"/>
                <w:b/>
                <w:sz w:val="24"/>
                <w:lang w:val="en-US" w:eastAsia="zh-CN"/>
              </w:rPr>
              <w:t>0</w:t>
            </w:r>
            <w:r>
              <w:rPr>
                <w:rFonts w:hint="eastAsia" w:ascii="宋体" w:hAnsi="宋体" w:eastAsia="宋体" w:cs="宋体"/>
                <w:b/>
                <w:sz w:val="24"/>
              </w:rPr>
              <w:t>AH，</w:t>
            </w:r>
            <w:r>
              <w:rPr>
                <w:rFonts w:hint="eastAsia" w:ascii="宋体" w:hAnsi="宋体" w:eastAsia="宋体" w:cs="宋体"/>
                <w:sz w:val="24"/>
              </w:rPr>
              <w:t>蓄电池安装在保护箱内。</w:t>
            </w:r>
          </w:p>
        </w:tc>
      </w:tr>
      <w:tr>
        <w:tblPrEx>
          <w:tblCellMar>
            <w:top w:w="0" w:type="dxa"/>
            <w:left w:w="0" w:type="dxa"/>
            <w:bottom w:w="0" w:type="dxa"/>
            <w:right w:w="0" w:type="dxa"/>
          </w:tblCellMar>
        </w:tblPrEx>
        <w:trPr>
          <w:trHeight w:val="360" w:hRule="atLeast"/>
        </w:trPr>
        <w:tc>
          <w:tcPr>
            <w:tcW w:w="2388" w:type="dxa"/>
            <w:vMerge w:val="continue"/>
            <w:tcBorders>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b/>
                <w:kern w:val="2"/>
                <w:sz w:val="24"/>
                <w:szCs w:val="24"/>
                <w:lang w:val="en-US" w:eastAsia="zh-CN" w:bidi="ar-SA"/>
              </w:rPr>
            </w:pPr>
            <w:r>
              <w:rPr>
                <w:rFonts w:hint="eastAsia" w:ascii="宋体" w:hAnsi="宋体" w:eastAsia="宋体" w:cs="宋体"/>
                <w:b/>
                <w:sz w:val="24"/>
              </w:rPr>
              <w:t>太阳能电池板</w:t>
            </w:r>
            <w:r>
              <w:rPr>
                <w:rFonts w:hint="eastAsia" w:ascii="宋体" w:hAnsi="宋体" w:eastAsia="宋体" w:cs="宋体"/>
                <w:sz w:val="24"/>
              </w:rPr>
              <w:t>：</w:t>
            </w:r>
            <w:r>
              <w:rPr>
                <w:rFonts w:hint="eastAsia" w:ascii="宋体" w:hAnsi="宋体" w:eastAsia="宋体" w:cs="宋体"/>
                <w:sz w:val="24"/>
                <w:lang w:val="en-US" w:eastAsia="zh-CN"/>
              </w:rPr>
              <w:t>24</w:t>
            </w:r>
            <w:r>
              <w:rPr>
                <w:rFonts w:hint="eastAsia" w:ascii="宋体" w:hAnsi="宋体" w:eastAsia="宋体" w:cs="宋体"/>
                <w:sz w:val="24"/>
              </w:rPr>
              <w:t>W给蓄电池充电。</w:t>
            </w:r>
          </w:p>
        </w:tc>
      </w:tr>
    </w:tbl>
    <w:p>
      <w:pPr>
        <w:numPr>
          <w:ilvl w:val="0"/>
          <w:numId w:val="0"/>
        </w:numPr>
        <w:ind w:leftChars="0"/>
        <w:jc w:val="both"/>
        <w:outlineLvl w:val="9"/>
        <w:rPr>
          <w:rFonts w:hint="default" w:ascii="宋体" w:hAnsi="宋体" w:cs="宋体"/>
          <w:b/>
          <w:bCs/>
          <w:sz w:val="32"/>
          <w:szCs w:val="40"/>
          <w:lang w:val="en-US" w:eastAsia="zh-CN"/>
        </w:rPr>
      </w:pPr>
    </w:p>
    <w:p>
      <w:pPr>
        <w:numPr>
          <w:ilvl w:val="0"/>
          <w:numId w:val="1"/>
        </w:numPr>
        <w:ind w:left="0" w:leftChars="0" w:firstLine="0" w:firstLineChars="0"/>
        <w:jc w:val="both"/>
        <w:outlineLvl w:val="0"/>
        <w:rPr>
          <w:rFonts w:hint="default" w:ascii="宋体" w:hAnsi="宋体" w:cs="宋体"/>
          <w:b/>
          <w:bCs/>
          <w:sz w:val="36"/>
          <w:szCs w:val="44"/>
          <w:lang w:val="en-US" w:eastAsia="zh-CN"/>
        </w:rPr>
      </w:pPr>
      <w:bookmarkStart w:id="3" w:name="_Toc6580"/>
      <w:r>
        <w:rPr>
          <w:rFonts w:hint="eastAsia" w:ascii="宋体" w:hAnsi="宋体" w:cs="宋体"/>
          <w:b/>
          <w:bCs/>
          <w:sz w:val="36"/>
          <w:szCs w:val="44"/>
          <w:lang w:val="en-US" w:eastAsia="zh-CN"/>
        </w:rPr>
        <w:t>安装注意事项</w:t>
      </w:r>
      <w:bookmarkEnd w:id="3"/>
    </w:p>
    <w:p>
      <w:pPr>
        <w:spacing w:line="240" w:lineRule="atLeast"/>
        <w:ind w:left="719" w:leftChars="171" w:hanging="360" w:hangingChars="15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室</w:t>
      </w:r>
      <w:r>
        <w:rPr>
          <w:rFonts w:hint="eastAsia" w:ascii="宋体" w:hAnsi="宋体" w:eastAsia="宋体" w:cs="宋体"/>
          <w:sz w:val="24"/>
        </w:rPr>
        <w:t>外安装时要注意防水、防雨淋、防盗、防破坏等。</w:t>
      </w:r>
    </w:p>
    <w:p>
      <w:pPr>
        <w:spacing w:line="240" w:lineRule="atLeast"/>
        <w:ind w:firstLine="360" w:firstLineChars="150"/>
        <w:rPr>
          <w:rFonts w:hint="eastAsia" w:ascii="宋体" w:hAnsi="宋体" w:eastAsia="宋体" w:cs="宋体"/>
          <w:sz w:val="24"/>
        </w:rPr>
      </w:pPr>
      <w:r>
        <w:rPr>
          <w:rFonts w:hint="eastAsia" w:ascii="宋体" w:hAnsi="宋体" w:eastAsia="宋体" w:cs="宋体"/>
          <w:sz w:val="24"/>
        </w:rPr>
        <w:t>2、安装时要注意方向，尽量垂直安装，出线的一端向下。</w:t>
      </w:r>
    </w:p>
    <w:p>
      <w:pPr>
        <w:spacing w:line="240" w:lineRule="atLeast"/>
        <w:ind w:firstLine="360" w:firstLineChars="150"/>
        <w:rPr>
          <w:rFonts w:hint="eastAsia" w:ascii="宋体" w:hAnsi="宋体" w:eastAsia="宋体" w:cs="宋体"/>
          <w:sz w:val="24"/>
        </w:rPr>
      </w:pPr>
      <w:r>
        <w:rPr>
          <w:rFonts w:hint="eastAsia" w:ascii="宋体" w:hAnsi="宋体" w:eastAsia="宋体" w:cs="宋体"/>
          <w:sz w:val="24"/>
        </w:rPr>
        <w:t>3、安装时要注意与地面的高度，避免水浸仪器。</w:t>
      </w:r>
    </w:p>
    <w:p>
      <w:pPr>
        <w:spacing w:line="240" w:lineRule="atLeast"/>
        <w:ind w:left="719" w:leftChars="171" w:hanging="360" w:hangingChars="150"/>
        <w:rPr>
          <w:rFonts w:hint="eastAsia" w:ascii="宋体" w:hAnsi="宋体" w:eastAsia="宋体" w:cs="宋体"/>
          <w:sz w:val="24"/>
        </w:rPr>
      </w:pPr>
      <w:r>
        <w:rPr>
          <w:rFonts w:hint="eastAsia" w:ascii="宋体" w:hAnsi="宋体" w:eastAsia="宋体" w:cs="宋体"/>
          <w:sz w:val="24"/>
        </w:rPr>
        <w:t>4、根据现场距离，配好电源及通讯线，对应连接通讯器、</w:t>
      </w:r>
      <w:r>
        <w:rPr>
          <w:rFonts w:hint="eastAsia" w:ascii="宋体" w:hAnsi="宋体" w:eastAsia="宋体" w:cs="宋体"/>
          <w:sz w:val="24"/>
          <w:lang w:eastAsia="zh-CN"/>
        </w:rPr>
        <w:t>终端设备</w:t>
      </w:r>
      <w:r>
        <w:rPr>
          <w:rFonts w:hint="eastAsia" w:ascii="宋体" w:hAnsi="宋体" w:eastAsia="宋体" w:cs="宋体"/>
          <w:sz w:val="24"/>
        </w:rPr>
        <w:t>与电源。</w:t>
      </w:r>
    </w:p>
    <w:p>
      <w:pPr>
        <w:spacing w:line="240" w:lineRule="atLeast"/>
        <w:ind w:firstLine="360" w:firstLineChars="150"/>
        <w:rPr>
          <w:rFonts w:hint="eastAsia" w:ascii="宋体" w:hAnsi="宋体" w:eastAsia="宋体" w:cs="宋体"/>
          <w:sz w:val="24"/>
        </w:rPr>
      </w:pPr>
      <w:r>
        <w:rPr>
          <w:rFonts w:hint="eastAsia" w:ascii="宋体" w:hAnsi="宋体" w:eastAsia="宋体" w:cs="宋体"/>
          <w:sz w:val="24"/>
        </w:rPr>
        <w:t>5、电源线禁止接入RS485信号线中，否则烧坏仪器。</w:t>
      </w:r>
    </w:p>
    <w:p>
      <w:pPr>
        <w:spacing w:line="240" w:lineRule="atLeast"/>
        <w:ind w:firstLine="360" w:firstLineChars="150"/>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、电源线的正负不能接反，否则不能工作。</w:t>
      </w:r>
    </w:p>
    <w:p>
      <w:pPr>
        <w:spacing w:line="240" w:lineRule="atLeast"/>
        <w:ind w:firstLine="360" w:firstLineChars="150"/>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、配用蓄电池的需把蓄电池放在防护箱内，避免雨淋水浸。</w:t>
      </w:r>
    </w:p>
    <w:p>
      <w:pPr>
        <w:spacing w:line="240" w:lineRule="atLeast"/>
        <w:ind w:firstLine="360" w:firstLineChars="150"/>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、无线通讯器的天线需外置，不能放在屏蔽箱内。</w:t>
      </w:r>
    </w:p>
    <w:p>
      <w:pPr>
        <w:spacing w:line="240" w:lineRule="atLeast"/>
        <w:ind w:firstLine="360" w:firstLineChars="150"/>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.无线通信有点对点和点对网的两种形式。</w:t>
      </w:r>
    </w:p>
    <w:p>
      <w:pPr>
        <w:spacing w:line="240" w:lineRule="atLeast"/>
        <w:ind w:firstLine="360" w:firstLineChars="150"/>
        <w:rPr>
          <w:rFonts w:hint="eastAsia" w:ascii="黑体" w:hAnsi="宋体" w:eastAsia="黑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a．点对网：无线收发模块放置于设备端，监控端只需有网络即可从网络</w:t>
      </w:r>
      <w:r>
        <w:rPr>
          <w:rFonts w:hint="eastAsia" w:ascii="黑体" w:hAnsi="宋体" w:eastAsia="黑体"/>
          <w:sz w:val="24"/>
        </w:rPr>
        <w:t>获取数据。</w:t>
      </w:r>
    </w:p>
    <w:p>
      <w:pPr>
        <w:numPr>
          <w:ilvl w:val="0"/>
          <w:numId w:val="1"/>
        </w:numPr>
        <w:ind w:left="0" w:leftChars="0" w:firstLine="0" w:firstLineChars="0"/>
        <w:jc w:val="both"/>
        <w:outlineLvl w:val="0"/>
        <w:rPr>
          <w:rFonts w:hint="eastAsia" w:ascii="宋体" w:hAnsi="宋体" w:eastAsia="宋体" w:cs="宋体"/>
          <w:b/>
          <w:bCs/>
          <w:sz w:val="36"/>
          <w:szCs w:val="44"/>
          <w:lang w:val="en-US" w:eastAsia="zh-CN"/>
        </w:rPr>
      </w:pPr>
      <w:bookmarkStart w:id="4" w:name="_Toc3345"/>
      <w:r>
        <w:rPr>
          <w:rFonts w:hint="eastAsia" w:ascii="宋体" w:hAnsi="宋体" w:eastAsia="宋体" w:cs="宋体"/>
          <w:b/>
          <w:bCs/>
          <w:sz w:val="36"/>
          <w:szCs w:val="44"/>
          <w:lang w:val="en-US" w:eastAsia="zh-CN"/>
        </w:rPr>
        <w:t>供电方式选择</w:t>
      </w:r>
      <w:bookmarkEnd w:id="4"/>
    </w:p>
    <w:p>
      <w:pPr>
        <w:spacing w:line="240" w:lineRule="atLeast"/>
        <w:ind w:left="479" w:leftChars="228"/>
        <w:rPr>
          <w:rFonts w:hint="eastAsia" w:ascii="宋体" w:hAnsi="宋体" w:eastAsia="宋体" w:cs="宋体"/>
          <w:sz w:val="24"/>
        </w:rPr>
      </w:pPr>
      <w:r>
        <w:rPr>
          <w:rFonts w:hint="eastAsia" w:ascii="宋体" w:hAnsi="宋体" w:eastAsia="宋体" w:cs="宋体"/>
          <w:b/>
          <w:sz w:val="24"/>
        </w:rPr>
        <w:t>1、外部供电</w:t>
      </w:r>
      <w:r>
        <w:rPr>
          <w:rFonts w:hint="eastAsia" w:ascii="宋体" w:hAnsi="宋体" w:eastAsia="宋体" w:cs="宋体"/>
          <w:sz w:val="24"/>
        </w:rPr>
        <w:t>，可以外部交流220V电源引到</w:t>
      </w:r>
      <w:r>
        <w:rPr>
          <w:rFonts w:hint="eastAsia" w:ascii="宋体" w:hAnsi="宋体" w:eastAsia="宋体" w:cs="宋体"/>
          <w:sz w:val="24"/>
          <w:lang w:eastAsia="zh-CN"/>
        </w:rPr>
        <w:t>终端设备</w:t>
      </w:r>
      <w:r>
        <w:rPr>
          <w:rFonts w:hint="eastAsia" w:ascii="宋体" w:hAnsi="宋体" w:eastAsia="宋体" w:cs="宋体"/>
          <w:sz w:val="24"/>
        </w:rPr>
        <w:t>和通讯器附近，通过电源适配器给</w:t>
      </w:r>
      <w:r>
        <w:rPr>
          <w:rFonts w:hint="eastAsia" w:ascii="宋体" w:hAnsi="宋体" w:eastAsia="宋体" w:cs="宋体"/>
          <w:sz w:val="24"/>
          <w:lang w:eastAsia="zh-CN"/>
        </w:rPr>
        <w:t>终端</w:t>
      </w:r>
      <w:r>
        <w:rPr>
          <w:rFonts w:hint="eastAsia" w:ascii="宋体" w:hAnsi="宋体" w:eastAsia="宋体" w:cs="宋体"/>
          <w:sz w:val="24"/>
        </w:rPr>
        <w:t>和通讯器供电。若外部有DC</w:t>
      </w:r>
      <w:r>
        <w:rPr>
          <w:rFonts w:hint="eastAsia" w:ascii="宋体" w:hAnsi="宋体" w:cs="宋体"/>
          <w:sz w:val="24"/>
          <w:lang w:val="en-US" w:eastAsia="zh-CN"/>
        </w:rPr>
        <w:t>12</w:t>
      </w:r>
      <w:r>
        <w:rPr>
          <w:rFonts w:hint="eastAsia" w:ascii="宋体" w:hAnsi="宋体" w:eastAsia="宋体" w:cs="宋体"/>
          <w:sz w:val="24"/>
        </w:rPr>
        <w:t>V电源，直接引入</w:t>
      </w:r>
      <w:r>
        <w:rPr>
          <w:rFonts w:hint="eastAsia" w:ascii="宋体" w:hAnsi="宋体" w:eastAsia="宋体" w:cs="宋体"/>
          <w:sz w:val="24"/>
          <w:lang w:eastAsia="zh-CN"/>
        </w:rPr>
        <w:t>终端</w:t>
      </w:r>
      <w:r>
        <w:rPr>
          <w:rFonts w:hint="eastAsia" w:ascii="宋体" w:hAnsi="宋体" w:eastAsia="宋体" w:cs="宋体"/>
          <w:sz w:val="24"/>
        </w:rPr>
        <w:t>和通讯器即可。</w:t>
      </w:r>
    </w:p>
    <w:p>
      <w:pPr>
        <w:spacing w:line="240" w:lineRule="atLeast"/>
        <w:ind w:left="479" w:leftChars="228"/>
        <w:rPr>
          <w:rFonts w:hint="eastAsia" w:ascii="宋体" w:hAnsi="宋体" w:eastAsia="宋体" w:cs="宋体"/>
          <w:sz w:val="24"/>
          <w:lang w:eastAsia="zh-CN"/>
        </w:rPr>
      </w:pPr>
      <w:r>
        <w:rPr>
          <w:rFonts w:hint="eastAsia" w:ascii="宋体" w:hAnsi="宋体" w:eastAsia="宋体" w:cs="宋体"/>
          <w:b/>
          <w:sz w:val="24"/>
        </w:rPr>
        <w:t>2、内部供电</w:t>
      </w:r>
      <w:r>
        <w:rPr>
          <w:rFonts w:hint="eastAsia" w:ascii="宋体" w:hAnsi="宋体" w:eastAsia="宋体" w:cs="宋体"/>
          <w:sz w:val="24"/>
        </w:rPr>
        <w:t>，选购防护箱、蓄电池，将蓄电池安装在防护箱内，再给</w:t>
      </w:r>
      <w:r>
        <w:rPr>
          <w:rFonts w:hint="eastAsia" w:ascii="宋体" w:hAnsi="宋体" w:eastAsia="宋体" w:cs="宋体"/>
          <w:sz w:val="24"/>
          <w:lang w:eastAsia="zh-CN"/>
        </w:rPr>
        <w:t>终端</w:t>
      </w:r>
      <w:r>
        <w:rPr>
          <w:rFonts w:hint="eastAsia" w:ascii="宋体" w:hAnsi="宋体" w:eastAsia="宋体" w:cs="宋体"/>
          <w:sz w:val="24"/>
        </w:rPr>
        <w:t>和通讯器供电，蓄电池可以配备</w:t>
      </w:r>
      <w:r>
        <w:rPr>
          <w:rFonts w:hint="eastAsia" w:ascii="宋体" w:hAnsi="宋体" w:cs="宋体"/>
          <w:sz w:val="24"/>
          <w:lang w:val="en-US" w:eastAsia="zh-CN"/>
        </w:rPr>
        <w:t>1</w:t>
      </w:r>
      <w:r>
        <w:rPr>
          <w:rFonts w:hint="eastAsia" w:ascii="宋体" w:hAnsi="宋体" w:eastAsia="宋体" w:cs="宋体"/>
          <w:sz w:val="24"/>
        </w:rPr>
        <w:t>块</w:t>
      </w:r>
      <w:r>
        <w:rPr>
          <w:rFonts w:hint="eastAsia" w:ascii="宋体" w:hAnsi="宋体" w:cs="宋体"/>
          <w:sz w:val="24"/>
          <w:lang w:eastAsia="zh-CN"/>
        </w:rPr>
        <w:t>。</w:t>
      </w:r>
    </w:p>
    <w:p>
      <w:pPr>
        <w:spacing w:line="240" w:lineRule="atLeast"/>
        <w:ind w:left="479" w:leftChars="228"/>
      </w:pPr>
      <w:r>
        <w:rPr>
          <w:rFonts w:hint="eastAsia" w:ascii="宋体" w:hAnsi="宋体" w:eastAsia="宋体" w:cs="宋体"/>
          <w:b/>
          <w:sz w:val="24"/>
        </w:rPr>
        <w:t>3、太阳能电池板供电</w:t>
      </w:r>
      <w:r>
        <w:rPr>
          <w:rFonts w:hint="eastAsia" w:ascii="宋体" w:hAnsi="宋体" w:eastAsia="宋体" w:cs="宋体"/>
          <w:sz w:val="24"/>
        </w:rPr>
        <w:t>，如下图，选购太阳能电池板、防护箱、蓄电池，适合于无法取电的场所。蓄电池放在防护箱内，太阳能电池板正极与蓄电池间之间需要通过充电控制器进行充电控制，以保护蓄电池。</w:t>
      </w:r>
    </w:p>
    <w:p/>
    <w:sectPr>
      <w:footerReference r:id="rId7" w:type="first"/>
      <w:footerReference r:id="rId6" w:type="default"/>
      <w:pgSz w:w="11906" w:h="16838"/>
      <w:pgMar w:top="1440" w:right="1800" w:bottom="1440" w:left="1800" w:header="1020"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pPr>
    <w:r>
      <w:rPr>
        <w:rFonts w:hint="eastAsia" w:ascii="宋体" w:hAnsi="宋体" w:eastAsia="宋体" w:cs="宋体"/>
        <w:b/>
        <w:bCs/>
        <w:i w:val="0"/>
        <w:color w:val="000000"/>
        <w:kern w:val="0"/>
        <w:sz w:val="28"/>
        <w:szCs w:val="28"/>
        <w:u w:val="none"/>
        <w:lang w:val="en-US" w:eastAsia="zh-CN" w:bidi="ar"/>
      </w:rPr>
      <w:t>废气治理</w:t>
    </w:r>
    <w:r>
      <w:rPr>
        <w:rFonts w:hint="eastAsia" w:ascii="宋体" w:hAnsi="宋体" w:cs="宋体"/>
        <w:b/>
        <w:bCs/>
        <w:i w:val="0"/>
        <w:color w:val="000000"/>
        <w:kern w:val="0"/>
        <w:sz w:val="28"/>
        <w:szCs w:val="28"/>
        <w:u w:val="none"/>
        <w:lang w:val="en-US" w:eastAsia="zh-CN" w:bidi="ar"/>
      </w:rPr>
      <w:t>设施</w:t>
    </w:r>
    <w:r>
      <w:rPr>
        <w:rFonts w:hint="eastAsia" w:ascii="宋体" w:hAnsi="宋体" w:eastAsia="宋体" w:cs="宋体"/>
        <w:b/>
        <w:bCs/>
        <w:i w:val="0"/>
        <w:color w:val="000000"/>
        <w:kern w:val="0"/>
        <w:sz w:val="28"/>
        <w:szCs w:val="28"/>
        <w:u w:val="none"/>
        <w:lang w:val="en-US" w:eastAsia="zh-CN" w:bidi="ar"/>
      </w:rPr>
      <w:t>工况动态监测系统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b/>
        <w:bCs/>
        <w:sz w:val="28"/>
        <w:szCs w:val="28"/>
      </w:rPr>
    </w:pPr>
    <w:r>
      <w:rPr>
        <w:rFonts w:hint="eastAsia" w:ascii="宋体" w:hAnsi="宋体" w:eastAsia="宋体" w:cs="宋体"/>
        <w:b/>
        <w:bCs/>
        <w:i w:val="0"/>
        <w:color w:val="000000"/>
        <w:kern w:val="0"/>
        <w:sz w:val="28"/>
        <w:szCs w:val="28"/>
        <w:u w:val="none"/>
        <w:lang w:val="en-US" w:eastAsia="zh-CN" w:bidi="ar"/>
      </w:rPr>
      <w:t>废气治理</w:t>
    </w:r>
    <w:r>
      <w:rPr>
        <w:rFonts w:hint="eastAsia" w:ascii="宋体" w:hAnsi="宋体" w:cs="宋体"/>
        <w:b/>
        <w:bCs/>
        <w:i w:val="0"/>
        <w:color w:val="000000"/>
        <w:kern w:val="0"/>
        <w:sz w:val="28"/>
        <w:szCs w:val="28"/>
        <w:u w:val="none"/>
        <w:lang w:val="en-US" w:eastAsia="zh-CN" w:bidi="ar"/>
      </w:rPr>
      <w:t>设施</w:t>
    </w:r>
    <w:r>
      <w:rPr>
        <w:rFonts w:hint="eastAsia" w:ascii="宋体" w:hAnsi="宋体" w:eastAsia="宋体" w:cs="宋体"/>
        <w:b/>
        <w:bCs/>
        <w:i w:val="0"/>
        <w:color w:val="000000"/>
        <w:kern w:val="0"/>
        <w:sz w:val="28"/>
        <w:szCs w:val="28"/>
        <w:u w:val="none"/>
        <w:lang w:val="en-US" w:eastAsia="zh-CN" w:bidi="ar"/>
      </w:rPr>
      <w:t>工况动态监测系统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7479F3"/>
    <w:multiLevelType w:val="multilevel"/>
    <w:tmpl w:val="2A7479F3"/>
    <w:lvl w:ilvl="0" w:tentative="0">
      <w:start w:val="1"/>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920A8"/>
    <w:rsid w:val="01176894"/>
    <w:rsid w:val="04D021BB"/>
    <w:rsid w:val="0A346906"/>
    <w:rsid w:val="11297298"/>
    <w:rsid w:val="133309C9"/>
    <w:rsid w:val="1597005A"/>
    <w:rsid w:val="33A2145C"/>
    <w:rsid w:val="345F11A9"/>
    <w:rsid w:val="365760C8"/>
    <w:rsid w:val="37AD606A"/>
    <w:rsid w:val="3EAF5BE9"/>
    <w:rsid w:val="47600C8F"/>
    <w:rsid w:val="553E63AD"/>
    <w:rsid w:val="582F672C"/>
    <w:rsid w:val="5A9A43D4"/>
    <w:rsid w:val="5D9676D3"/>
    <w:rsid w:val="5DE13BCB"/>
    <w:rsid w:val="5F72751D"/>
    <w:rsid w:val="613D3C14"/>
    <w:rsid w:val="63683187"/>
    <w:rsid w:val="643470FC"/>
    <w:rsid w:val="715C29C2"/>
    <w:rsid w:val="76392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2020-06-26T06:04:00Z</dcterms:created>
  <dc:creator>路过的玄譞</dc:creator>
  <cp:lastModifiedBy>路过的玄譞</cp:lastModifiedBy>
  <dcterms:modified xsi:type="dcterms:W3CDTF">2021-07-01T01:44:18Z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88DD367B70FC4457AF34C06873820562</vt:lpwstr>
  </property>
</Properties>
</file>